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0B3" w:rsidRPr="007270B3" w:rsidRDefault="007270B3" w:rsidP="007270B3">
      <w:pPr>
        <w:pStyle w:val="Default"/>
        <w:rPr>
          <w:b/>
          <w:sz w:val="28"/>
          <w:szCs w:val="28"/>
          <w:u w:val="single"/>
        </w:rPr>
      </w:pPr>
      <w:r w:rsidRPr="007270B3">
        <w:rPr>
          <w:b/>
          <w:sz w:val="28"/>
          <w:szCs w:val="28"/>
          <w:u w:val="single"/>
        </w:rPr>
        <w:t>Finance commission</w:t>
      </w:r>
    </w:p>
    <w:p w:rsidR="007270B3" w:rsidRDefault="007270B3" w:rsidP="007270B3">
      <w:pPr>
        <w:autoSpaceDE w:val="0"/>
        <w:autoSpaceDN w:val="0"/>
        <w:adjustRightInd w:val="0"/>
        <w:spacing w:after="0" w:line="240" w:lineRule="auto"/>
        <w:rPr>
          <w:rFonts w:ascii="TimesNewRomanPSMT" w:hAnsi="TimesNewRomanPSMT" w:cs="TimesNewRomanPSMT"/>
          <w:color w:val="373435"/>
          <w:sz w:val="24"/>
          <w:szCs w:val="24"/>
        </w:rPr>
      </w:pPr>
    </w:p>
    <w:p w:rsidR="007270B3" w:rsidRPr="007270B3" w:rsidRDefault="007270B3" w:rsidP="007270B3">
      <w:pPr>
        <w:autoSpaceDE w:val="0"/>
        <w:autoSpaceDN w:val="0"/>
        <w:adjustRightInd w:val="0"/>
        <w:spacing w:after="0" w:line="240" w:lineRule="auto"/>
        <w:rPr>
          <w:rFonts w:ascii="TimesNewRomanPSMT" w:hAnsi="TimesNewRomanPSMT" w:cs="TimesNewRomanPSMT"/>
          <w:b/>
          <w:i/>
          <w:color w:val="373435"/>
        </w:rPr>
      </w:pPr>
      <w:r w:rsidRPr="007270B3">
        <w:rPr>
          <w:rFonts w:ascii="TimesNewRomanPSMT" w:hAnsi="TimesNewRomanPSMT" w:cs="TimesNewRomanPSMT"/>
          <w:b/>
          <w:i/>
          <w:color w:val="373435"/>
        </w:rPr>
        <w:t>The Present Context</w:t>
      </w:r>
    </w:p>
    <w:p w:rsidR="007270B3" w:rsidRPr="007270B3" w:rsidRDefault="007270B3" w:rsidP="007270B3">
      <w:pPr>
        <w:autoSpaceDE w:val="0"/>
        <w:autoSpaceDN w:val="0"/>
        <w:adjustRightInd w:val="0"/>
        <w:spacing w:after="0" w:line="240" w:lineRule="auto"/>
        <w:rPr>
          <w:rFonts w:ascii="TimesNewRomanPSMT" w:hAnsi="TimesNewRomanPSMT" w:cs="TimesNewRomanPSMT"/>
          <w:b/>
          <w:color w:val="373435"/>
          <w:sz w:val="24"/>
          <w:szCs w:val="24"/>
        </w:rPr>
      </w:pPr>
    </w:p>
    <w:p w:rsidR="007270B3" w:rsidRPr="007270B3" w:rsidRDefault="007270B3" w:rsidP="007270B3">
      <w:pPr>
        <w:autoSpaceDE w:val="0"/>
        <w:autoSpaceDN w:val="0"/>
        <w:adjustRightInd w:val="0"/>
        <w:spacing w:after="0" w:line="240" w:lineRule="auto"/>
        <w:rPr>
          <w:rFonts w:ascii="TimesNewRomanPSMT" w:hAnsi="TimesNewRomanPSMT" w:cs="TimesNewRomanPSMT"/>
          <w:color w:val="373435"/>
        </w:rPr>
      </w:pPr>
      <w:r w:rsidRPr="007270B3">
        <w:rPr>
          <w:rFonts w:ascii="TimesNewRomanPSMT" w:hAnsi="TimesNewRomanPSMT" w:cs="TimesNewRomanPSMT"/>
          <w:color w:val="373435"/>
        </w:rPr>
        <w:t>T</w:t>
      </w:r>
      <w:r w:rsidRPr="007270B3">
        <w:rPr>
          <w:rFonts w:ascii="TimesNewRomanPSMT" w:hAnsi="TimesNewRomanPSMT" w:cs="TimesNewRomanPSMT"/>
          <w:color w:val="373435"/>
        </w:rPr>
        <w:t>he enactment of the Jammu and Kashmir Reorganisation Act, 2019, leading to the creation of two new Union Territories. The Commission needs to closely examine how best the needs of the Union Territory of Jammu and Kashmir can be addressed keeping in view all relevant factors.</w:t>
      </w:r>
    </w:p>
    <w:p w:rsidR="007270B3" w:rsidRPr="007270B3" w:rsidRDefault="007270B3" w:rsidP="007270B3">
      <w:pPr>
        <w:autoSpaceDE w:val="0"/>
        <w:autoSpaceDN w:val="0"/>
        <w:adjustRightInd w:val="0"/>
        <w:spacing w:after="0" w:line="240" w:lineRule="auto"/>
        <w:rPr>
          <w:rFonts w:ascii="TimesNewRomanPSMT" w:hAnsi="TimesNewRomanPSMT" w:cs="TimesNewRomanPSMT"/>
          <w:color w:val="373435"/>
        </w:rPr>
      </w:pPr>
    </w:p>
    <w:p w:rsidR="007270B3" w:rsidRPr="007270B3" w:rsidRDefault="007270B3" w:rsidP="007270B3">
      <w:pPr>
        <w:autoSpaceDE w:val="0"/>
        <w:autoSpaceDN w:val="0"/>
        <w:adjustRightInd w:val="0"/>
        <w:spacing w:after="0" w:line="240" w:lineRule="auto"/>
        <w:rPr>
          <w:rFonts w:ascii="TimesNewRomanPSMT" w:hAnsi="TimesNewRomanPSMT" w:cs="TimesNewRomanPSMT"/>
          <w:color w:val="373435"/>
        </w:rPr>
      </w:pPr>
      <w:r w:rsidRPr="007270B3">
        <w:rPr>
          <w:rFonts w:ascii="TimesNewRomanPSMT" w:hAnsi="TimesNewRomanPSMT" w:cs="TimesNewRomanPSMT"/>
          <w:color w:val="373435"/>
        </w:rPr>
        <w:t>T</w:t>
      </w:r>
      <w:r w:rsidRPr="007270B3">
        <w:rPr>
          <w:rFonts w:ascii="TimesNewRomanPSMT" w:hAnsi="TimesNewRomanPSMT" w:cs="TimesNewRomanPSMT"/>
          <w:color w:val="373435"/>
        </w:rPr>
        <w:t xml:space="preserve">he global scenario is unpredictable and experiencing a synchronised slowdown. After successive downward revisions, the International Monetary Fund (IMF) forecast global growth for 2019 at 3 per cent, which is the lowest since the global financial crisis of 2008-09, with further downside risk. </w:t>
      </w:r>
    </w:p>
    <w:p w:rsidR="007270B3" w:rsidRPr="007270B3" w:rsidRDefault="007270B3" w:rsidP="007270B3">
      <w:pPr>
        <w:autoSpaceDE w:val="0"/>
        <w:autoSpaceDN w:val="0"/>
        <w:adjustRightInd w:val="0"/>
        <w:spacing w:after="0" w:line="240" w:lineRule="auto"/>
        <w:rPr>
          <w:rFonts w:ascii="TimesNewRomanPSMT" w:hAnsi="TimesNewRomanPSMT" w:cs="TimesNewRomanPSMT"/>
          <w:color w:val="373435"/>
        </w:rPr>
      </w:pPr>
    </w:p>
    <w:p w:rsidR="007270B3" w:rsidRPr="007270B3" w:rsidRDefault="007270B3" w:rsidP="007270B3">
      <w:pPr>
        <w:autoSpaceDE w:val="0"/>
        <w:autoSpaceDN w:val="0"/>
        <w:adjustRightInd w:val="0"/>
        <w:spacing w:after="0" w:line="240" w:lineRule="auto"/>
        <w:rPr>
          <w:rFonts w:ascii="TimesNewRomanPSMT" w:hAnsi="TimesNewRomanPSMT" w:cs="TimesNewRomanPSMT"/>
          <w:color w:val="373435"/>
        </w:rPr>
      </w:pPr>
      <w:r w:rsidRPr="007270B3">
        <w:rPr>
          <w:rFonts w:ascii="TimesNewRomanPSMT" w:hAnsi="TimesNewRomanPSMT" w:cs="TimesNewRomanPSMT"/>
          <w:color w:val="373435"/>
        </w:rPr>
        <w:t>The United States-China trade war enhances the uncertainty and a volatile geo-political backdrop has implications for the behaviour of oil output and prices in the</w:t>
      </w:r>
      <w:r w:rsidRPr="007270B3">
        <w:rPr>
          <w:rFonts w:ascii="TimesNewRomanPSMT" w:hAnsi="TimesNewRomanPSMT" w:cs="TimesNewRomanPSMT"/>
          <w:color w:val="373435"/>
        </w:rPr>
        <w:t xml:space="preserve"> medium term. </w:t>
      </w:r>
      <w:r w:rsidRPr="007270B3">
        <w:rPr>
          <w:rFonts w:ascii="TimesNewRomanPSMT" w:hAnsi="TimesNewRomanPSMT" w:cs="TimesNewRomanPSMT"/>
          <w:color w:val="373435"/>
        </w:rPr>
        <w:t xml:space="preserve">These contribute to the global uncertainty and slowdown. The IMF has observed that this synchronised slowdown will result in slower growth for 90 per cent of the world this year and that it will be more visible in some of the largest emerging markets such as India and </w:t>
      </w:r>
      <w:r w:rsidRPr="007270B3">
        <w:rPr>
          <w:rFonts w:ascii="TimesNewRomanPSMT" w:hAnsi="TimesNewRomanPSMT" w:cs="TimesNewRomanPSMT"/>
          <w:color w:val="373435"/>
        </w:rPr>
        <w:t>Brazil.</w:t>
      </w:r>
    </w:p>
    <w:p w:rsidR="007270B3" w:rsidRPr="007270B3" w:rsidRDefault="007270B3" w:rsidP="007270B3">
      <w:pPr>
        <w:autoSpaceDE w:val="0"/>
        <w:autoSpaceDN w:val="0"/>
        <w:adjustRightInd w:val="0"/>
        <w:spacing w:after="0" w:line="240" w:lineRule="auto"/>
        <w:rPr>
          <w:rFonts w:ascii="TimesNewRomanPSMT" w:hAnsi="TimesNewRomanPSMT" w:cs="TimesNewRomanPSMT"/>
          <w:color w:val="373435"/>
        </w:rPr>
      </w:pPr>
    </w:p>
    <w:p w:rsidR="007270B3" w:rsidRPr="007270B3" w:rsidRDefault="007270B3" w:rsidP="007270B3">
      <w:pPr>
        <w:autoSpaceDE w:val="0"/>
        <w:autoSpaceDN w:val="0"/>
        <w:adjustRightInd w:val="0"/>
        <w:spacing w:after="0" w:line="240" w:lineRule="auto"/>
        <w:rPr>
          <w:rFonts w:ascii="TimesNewRomanPSMT" w:hAnsi="TimesNewRomanPSMT" w:cs="TimesNewRomanPSMT"/>
          <w:color w:val="373435"/>
        </w:rPr>
      </w:pPr>
      <w:r w:rsidRPr="007270B3">
        <w:rPr>
          <w:rFonts w:ascii="TimesNewRomanPSMT" w:hAnsi="TimesNewRomanPSMT" w:cs="TimesNewRomanPSMT"/>
          <w:color w:val="373435"/>
        </w:rPr>
        <w:t>L</w:t>
      </w:r>
      <w:r w:rsidRPr="007270B3">
        <w:rPr>
          <w:rFonts w:ascii="TimesNewRomanPSMT" w:hAnsi="TimesNewRomanPSMT" w:cs="TimesNewRomanPSMT"/>
          <w:color w:val="373435"/>
        </w:rPr>
        <w:t>ike many other countries, India too is going through a period of economic sluggishness. The growth in real gross domestic product (GDP) is expected to slow down from 7.2 per cent in 2017-18 to around 6 per cent estimated for 2019-20. The slowdown is driven by both external and domestic factors. While investment and exports have been slowing since 2011-12, the slowdown in consumption since early 2018, partly associated with a sharp decline in consumer confidence, is more worrying. Confidence, debt and risk aversion issues in the financial sector continue, imparting a downward bias to the short-term growth forecasts.</w:t>
      </w:r>
    </w:p>
    <w:p w:rsidR="007270B3" w:rsidRPr="007270B3" w:rsidRDefault="007270B3" w:rsidP="007270B3">
      <w:pPr>
        <w:autoSpaceDE w:val="0"/>
        <w:autoSpaceDN w:val="0"/>
        <w:adjustRightInd w:val="0"/>
        <w:spacing w:after="0" w:line="240" w:lineRule="auto"/>
        <w:rPr>
          <w:rFonts w:ascii="TimesNewRomanPSMT" w:hAnsi="TimesNewRomanPSMT" w:cs="TimesNewRomanPSMT"/>
          <w:color w:val="373435"/>
        </w:rPr>
      </w:pPr>
    </w:p>
    <w:p w:rsidR="007270B3" w:rsidRPr="007270B3" w:rsidRDefault="007270B3" w:rsidP="007270B3">
      <w:pPr>
        <w:autoSpaceDE w:val="0"/>
        <w:autoSpaceDN w:val="0"/>
        <w:adjustRightInd w:val="0"/>
        <w:spacing w:after="0" w:line="240" w:lineRule="auto"/>
        <w:rPr>
          <w:rFonts w:ascii="TimesNewRomanPSMT" w:hAnsi="TimesNewRomanPSMT" w:cs="TimesNewRomanPSMT"/>
          <w:color w:val="373435"/>
        </w:rPr>
      </w:pPr>
      <w:r w:rsidRPr="007270B3">
        <w:rPr>
          <w:rFonts w:ascii="TimesNewRomanPSMT" w:hAnsi="TimesNewRomanPSMT" w:cs="TimesNewRomanPSMT"/>
          <w:color w:val="373435"/>
        </w:rPr>
        <w:t>The Union Government and the Reserve Bank of India (RBI) have acted to address the slowdown through various measures such as making monetary policy more accommodative, a slew of structural measures to boost housing, exports and small and medium enterprises as well as with a sharp cut in corporate tax to make India a competitive investment destination. The Union Government expects all of these measures to start bearing results over the next few quarters. Weak revenue collections, driven by slowing activity as well as teething problems in implementing some of the newly introduced structural reforms, have elevated the fiscal risks.</w:t>
      </w:r>
    </w:p>
    <w:p w:rsidR="007270B3" w:rsidRPr="007270B3" w:rsidRDefault="007270B3" w:rsidP="007270B3">
      <w:pPr>
        <w:autoSpaceDE w:val="0"/>
        <w:autoSpaceDN w:val="0"/>
        <w:adjustRightInd w:val="0"/>
        <w:spacing w:after="0" w:line="240" w:lineRule="auto"/>
        <w:rPr>
          <w:rFonts w:ascii="TimesNewRomanPSMT" w:hAnsi="TimesNewRomanPSMT" w:cs="TimesNewRomanPSMT"/>
          <w:color w:val="373435"/>
        </w:rPr>
      </w:pPr>
    </w:p>
    <w:p w:rsidR="007270B3" w:rsidRPr="007270B3" w:rsidRDefault="007270B3" w:rsidP="007270B3">
      <w:pPr>
        <w:autoSpaceDE w:val="0"/>
        <w:autoSpaceDN w:val="0"/>
        <w:adjustRightInd w:val="0"/>
        <w:spacing w:after="0" w:line="240" w:lineRule="auto"/>
        <w:rPr>
          <w:rFonts w:ascii="TimesNewRomanPSMT" w:hAnsi="TimesNewRomanPSMT" w:cs="TimesNewRomanPSMT"/>
          <w:color w:val="373435"/>
        </w:rPr>
      </w:pPr>
      <w:r w:rsidRPr="007270B3">
        <w:rPr>
          <w:rFonts w:ascii="TimesNewRomanPSMT" w:hAnsi="TimesNewRomanPSMT" w:cs="TimesNewRomanPSMT"/>
          <w:color w:val="373435"/>
        </w:rPr>
        <w:t>With real economic growth at a seven-year low, combined with relatively low inflation, growth has been weak in nominal terms as well, leading to a weak tax base. Nominal GDP growth in the last reported quarter was a low 8 per cent. Not surprisingly, revenue collections have been sluggish. Significantly, the current slowdown in India also coincides with major structural reforms in the economy over the last five years – a new monetary policy framework; a bankruptcy code for resolution of stressed assets; demonetisation; introduction of GST in July 2017; a new corporate tax order; a series of other announcements by the Union Government to boost the housing sector and exports; plans to privatise a large set of public sector entities including oil companies; and introduction of direct tax reforms.</w:t>
      </w:r>
    </w:p>
    <w:p w:rsidR="007270B3" w:rsidRPr="007270B3" w:rsidRDefault="007270B3" w:rsidP="007270B3">
      <w:pPr>
        <w:autoSpaceDE w:val="0"/>
        <w:autoSpaceDN w:val="0"/>
        <w:adjustRightInd w:val="0"/>
        <w:spacing w:after="0" w:line="240" w:lineRule="auto"/>
        <w:rPr>
          <w:rFonts w:ascii="TimesNewRomanPSMT" w:hAnsi="TimesNewRomanPSMT" w:cs="TimesNewRomanPSMT"/>
          <w:color w:val="373435"/>
        </w:rPr>
      </w:pPr>
    </w:p>
    <w:p w:rsidR="007270B3" w:rsidRPr="007270B3" w:rsidRDefault="007270B3" w:rsidP="007270B3">
      <w:pPr>
        <w:autoSpaceDE w:val="0"/>
        <w:autoSpaceDN w:val="0"/>
        <w:adjustRightInd w:val="0"/>
        <w:spacing w:after="0" w:line="240" w:lineRule="auto"/>
        <w:rPr>
          <w:rFonts w:ascii="TimesNewRomanPSMT" w:hAnsi="TimesNewRomanPSMT" w:cs="TimesNewRomanPSMT"/>
          <w:color w:val="373435"/>
        </w:rPr>
      </w:pPr>
      <w:r w:rsidRPr="007270B3">
        <w:rPr>
          <w:rFonts w:ascii="TimesNewRomanPSMT" w:hAnsi="TimesNewRomanPSMT" w:cs="TimesNewRomanPSMT"/>
          <w:color w:val="373435"/>
        </w:rPr>
        <w:t>The short-term transitional difficulties in implementing these structural reforms can create a pessimistic view on the medium-term prospects of economic growth and revenue collections. For example, slow input tax refunds on GST collections have depressed growth for many small and medium enterprises (SMEs). Importantly, the economy is going through a unique process of formalisation and digitalisation – post demonetisation and introduction of GST. While this process would lead to enhanced productivity, higher wages and incomes in the medium term, it is creating significant challenges in the short term.</w:t>
      </w:r>
    </w:p>
    <w:p w:rsidR="007270B3" w:rsidRPr="007270B3" w:rsidRDefault="007270B3" w:rsidP="007270B3">
      <w:pPr>
        <w:autoSpaceDE w:val="0"/>
        <w:autoSpaceDN w:val="0"/>
        <w:adjustRightInd w:val="0"/>
        <w:spacing w:after="0" w:line="240" w:lineRule="auto"/>
        <w:rPr>
          <w:rFonts w:ascii="TimesNewRomanPSMT" w:hAnsi="TimesNewRomanPSMT" w:cs="TimesNewRomanPSMT"/>
          <w:color w:val="373435"/>
        </w:rPr>
      </w:pPr>
    </w:p>
    <w:p w:rsidR="007270B3" w:rsidRPr="007270B3" w:rsidRDefault="007270B3" w:rsidP="007270B3">
      <w:pPr>
        <w:autoSpaceDE w:val="0"/>
        <w:autoSpaceDN w:val="0"/>
        <w:adjustRightInd w:val="0"/>
        <w:spacing w:after="0" w:line="240" w:lineRule="auto"/>
        <w:rPr>
          <w:rFonts w:ascii="TimesNewRomanPSMT" w:hAnsi="TimesNewRomanPSMT" w:cs="TimesNewRomanPSMT"/>
          <w:color w:val="373435"/>
        </w:rPr>
      </w:pPr>
      <w:r w:rsidRPr="007270B3">
        <w:rPr>
          <w:rFonts w:ascii="TimesNewRomanPSMT" w:hAnsi="TimesNewRomanPSMT" w:cs="TimesNewRomanPSMT"/>
          <w:color w:val="373435"/>
        </w:rPr>
        <w:t xml:space="preserve">Recent announcements to expedite GST </w:t>
      </w:r>
      <w:r w:rsidRPr="007270B3">
        <w:rPr>
          <w:rFonts w:ascii="TimesNewRomanPSMT" w:hAnsi="TimesNewRomanPSMT" w:cs="TimesNewRomanPSMT"/>
          <w:color w:val="373435"/>
        </w:rPr>
        <w:t>refunds should</w:t>
      </w:r>
      <w:r w:rsidRPr="007270B3">
        <w:rPr>
          <w:rFonts w:ascii="TimesNewRomanPSMT" w:hAnsi="TimesNewRomanPSMT" w:cs="TimesNewRomanPSMT"/>
          <w:color w:val="373435"/>
        </w:rPr>
        <w:t xml:space="preserve"> alleviate some of these bottlenecks. Similarly, some of the other announcements such as measures to boost the housing and exports sectors, credit guarantees for non-banking financial companies (NBFCs), expedited payments by </w:t>
      </w:r>
      <w:r w:rsidRPr="007270B3">
        <w:rPr>
          <w:rFonts w:ascii="TimesNewRomanPSMT" w:hAnsi="TimesNewRomanPSMT" w:cs="TimesNewRomanPSMT"/>
          <w:color w:val="373435"/>
        </w:rPr>
        <w:lastRenderedPageBreak/>
        <w:t xml:space="preserve">public sector undertakings to SMEs, should all work to address the supply bottlenecks and raise aggregate demand. </w:t>
      </w:r>
    </w:p>
    <w:p w:rsidR="007270B3" w:rsidRPr="007270B3" w:rsidRDefault="007270B3" w:rsidP="007270B3">
      <w:pPr>
        <w:autoSpaceDE w:val="0"/>
        <w:autoSpaceDN w:val="0"/>
        <w:adjustRightInd w:val="0"/>
        <w:spacing w:after="0" w:line="240" w:lineRule="auto"/>
        <w:rPr>
          <w:rFonts w:ascii="TimesNewRomanPSMT" w:hAnsi="TimesNewRomanPSMT" w:cs="TimesNewRomanPSMT"/>
          <w:color w:val="373435"/>
        </w:rPr>
      </w:pPr>
    </w:p>
    <w:p w:rsidR="007270B3" w:rsidRPr="007270B3" w:rsidRDefault="007270B3" w:rsidP="007270B3">
      <w:pPr>
        <w:autoSpaceDE w:val="0"/>
        <w:autoSpaceDN w:val="0"/>
        <w:adjustRightInd w:val="0"/>
        <w:spacing w:after="0" w:line="240" w:lineRule="auto"/>
      </w:pPr>
      <w:r w:rsidRPr="007270B3">
        <w:rPr>
          <w:rFonts w:ascii="TimesNewRomanPSMT" w:hAnsi="TimesNewRomanPSMT" w:cs="TimesNewRomanPSMT"/>
          <w:color w:val="373435"/>
        </w:rPr>
        <w:t>The RBI has reduced interest rates sharply (by 135 basis points) during this easing cycle over a short period of eight months and has also taken steps to enhance the speed of transmission of its policies to the real economy. All these changes would require some time to filter through the economy, and may start to get reflected in the economic data over the next few quarters.</w:t>
      </w:r>
    </w:p>
    <w:p w:rsidR="007270B3" w:rsidRPr="007270B3" w:rsidRDefault="007270B3" w:rsidP="007270B3"/>
    <w:p w:rsidR="007270B3" w:rsidRPr="007270B3" w:rsidRDefault="007270B3" w:rsidP="007270B3">
      <w:pPr>
        <w:autoSpaceDE w:val="0"/>
        <w:autoSpaceDN w:val="0"/>
        <w:adjustRightInd w:val="0"/>
        <w:spacing w:after="0" w:line="240" w:lineRule="auto"/>
        <w:rPr>
          <w:rFonts w:ascii="TimesNewRomanPS-BoldMT" w:hAnsi="TimesNewRomanPS-BoldMT" w:cs="TimesNewRomanPS-BoldMT"/>
          <w:b/>
          <w:bCs/>
          <w:color w:val="373435"/>
          <w:sz w:val="28"/>
          <w:szCs w:val="28"/>
          <w:u w:val="single"/>
        </w:rPr>
      </w:pPr>
      <w:r w:rsidRPr="007270B3">
        <w:rPr>
          <w:rFonts w:ascii="TimesNewRomanPS-BoldMT" w:hAnsi="TimesNewRomanPS-BoldMT" w:cs="TimesNewRomanPS-BoldMT"/>
          <w:b/>
          <w:bCs/>
          <w:color w:val="373435"/>
          <w:sz w:val="28"/>
          <w:szCs w:val="28"/>
          <w:u w:val="single"/>
        </w:rPr>
        <w:t>Recommendations</w:t>
      </w:r>
    </w:p>
    <w:p w:rsidR="007270B3" w:rsidRPr="007270B3" w:rsidRDefault="007270B3" w:rsidP="007270B3">
      <w:pPr>
        <w:autoSpaceDE w:val="0"/>
        <w:autoSpaceDN w:val="0"/>
        <w:adjustRightInd w:val="0"/>
        <w:spacing w:after="0" w:line="240" w:lineRule="auto"/>
        <w:rPr>
          <w:rFonts w:ascii="TimesNewRomanPS-BoldMT" w:hAnsi="TimesNewRomanPS-BoldMT" w:cs="TimesNewRomanPS-BoldMT"/>
          <w:b/>
          <w:bCs/>
          <w:color w:val="373435"/>
          <w:sz w:val="28"/>
          <w:szCs w:val="28"/>
          <w:u w:val="single"/>
        </w:rPr>
      </w:pPr>
    </w:p>
    <w:p w:rsidR="007270B3" w:rsidRPr="007270B3" w:rsidRDefault="007270B3" w:rsidP="007270B3">
      <w:pPr>
        <w:autoSpaceDE w:val="0"/>
        <w:autoSpaceDN w:val="0"/>
        <w:adjustRightInd w:val="0"/>
        <w:spacing w:after="0" w:line="240" w:lineRule="auto"/>
        <w:rPr>
          <w:rFonts w:ascii="Times New Roman" w:hAnsi="Times New Roman" w:cs="Times New Roman"/>
          <w:color w:val="373435"/>
        </w:rPr>
      </w:pPr>
      <w:r w:rsidRPr="007270B3">
        <w:rPr>
          <w:rFonts w:ascii="Times New Roman" w:hAnsi="Times New Roman" w:cs="Times New Roman"/>
          <w:color w:val="373435"/>
        </w:rPr>
        <w:t xml:space="preserve">The FC was guided in its approach by the ToR, which is a departure from that of our predecessor and yet retains some broad themes of previous Finance Commissions by way of continuity. </w:t>
      </w:r>
    </w:p>
    <w:p w:rsidR="007270B3" w:rsidRPr="007270B3" w:rsidRDefault="007270B3" w:rsidP="007270B3">
      <w:pPr>
        <w:autoSpaceDE w:val="0"/>
        <w:autoSpaceDN w:val="0"/>
        <w:adjustRightInd w:val="0"/>
        <w:spacing w:after="0" w:line="240" w:lineRule="auto"/>
        <w:rPr>
          <w:rFonts w:ascii="Times New Roman" w:hAnsi="Times New Roman" w:cs="Times New Roman"/>
          <w:color w:val="373435"/>
        </w:rPr>
      </w:pPr>
    </w:p>
    <w:p w:rsidR="007270B3" w:rsidRPr="007270B3" w:rsidRDefault="007270B3" w:rsidP="007270B3">
      <w:pPr>
        <w:pStyle w:val="ListParagraph"/>
        <w:numPr>
          <w:ilvl w:val="0"/>
          <w:numId w:val="3"/>
        </w:numPr>
        <w:autoSpaceDE w:val="0"/>
        <w:autoSpaceDN w:val="0"/>
        <w:adjustRightInd w:val="0"/>
        <w:spacing w:after="0" w:line="240" w:lineRule="auto"/>
        <w:rPr>
          <w:rFonts w:ascii="Times New Roman" w:hAnsi="Times New Roman" w:cs="Times New Roman"/>
          <w:color w:val="373435"/>
        </w:rPr>
      </w:pPr>
      <w:r w:rsidRPr="007270B3">
        <w:rPr>
          <w:rFonts w:ascii="Times New Roman" w:hAnsi="Times New Roman" w:cs="Times New Roman"/>
          <w:color w:val="373435"/>
        </w:rPr>
        <w:t>The ToR for Fifteenth FC clearly stipulates the use of population data of 2011 for the recommendations. As population is a major factor in the determination of the devolution formula, and it would also be used for scaling other criterion in order to address the parameters of equity and efficiency in the devolution process.</w:t>
      </w:r>
    </w:p>
    <w:p w:rsidR="007270B3" w:rsidRPr="007270B3" w:rsidRDefault="007270B3" w:rsidP="007270B3">
      <w:pPr>
        <w:autoSpaceDE w:val="0"/>
        <w:autoSpaceDN w:val="0"/>
        <w:adjustRightInd w:val="0"/>
        <w:spacing w:after="0" w:line="240" w:lineRule="auto"/>
        <w:rPr>
          <w:rFonts w:ascii="Times New Roman" w:hAnsi="Times New Roman" w:cs="Times New Roman"/>
          <w:i/>
          <w:iCs/>
          <w:color w:val="373435"/>
        </w:rPr>
      </w:pPr>
    </w:p>
    <w:p w:rsidR="007270B3" w:rsidRPr="007270B3" w:rsidRDefault="007270B3" w:rsidP="007270B3">
      <w:pPr>
        <w:pStyle w:val="ListParagraph"/>
        <w:numPr>
          <w:ilvl w:val="0"/>
          <w:numId w:val="3"/>
        </w:numPr>
        <w:autoSpaceDE w:val="0"/>
        <w:autoSpaceDN w:val="0"/>
        <w:adjustRightInd w:val="0"/>
        <w:spacing w:after="0" w:line="240" w:lineRule="auto"/>
        <w:rPr>
          <w:rFonts w:ascii="Times New Roman" w:hAnsi="Times New Roman" w:cs="Times New Roman"/>
          <w:color w:val="373435"/>
        </w:rPr>
      </w:pPr>
      <w:r w:rsidRPr="007270B3">
        <w:rPr>
          <w:rFonts w:ascii="Times New Roman" w:hAnsi="Times New Roman" w:cs="Times New Roman"/>
          <w:color w:val="373435"/>
        </w:rPr>
        <w:t>Use the population data of 2011 created apprehensions that doing so would penalize those States that have achieved greater progress in reducing population growth since 1971. Fifteenth FC has attempted to dispel these doubts by introducing a new criterion of total fertility rate (TFR) as a measure of demographic performance.</w:t>
      </w:r>
    </w:p>
    <w:p w:rsidR="007270B3" w:rsidRPr="007270B3" w:rsidRDefault="007270B3" w:rsidP="007270B3">
      <w:pPr>
        <w:autoSpaceDE w:val="0"/>
        <w:autoSpaceDN w:val="0"/>
        <w:adjustRightInd w:val="0"/>
        <w:spacing w:after="0" w:line="240" w:lineRule="auto"/>
        <w:rPr>
          <w:rFonts w:ascii="Times New Roman" w:hAnsi="Times New Roman" w:cs="Times New Roman"/>
          <w:color w:val="373435"/>
        </w:rPr>
      </w:pPr>
    </w:p>
    <w:p w:rsidR="007270B3" w:rsidRPr="007270B3" w:rsidRDefault="007270B3" w:rsidP="007270B3">
      <w:pPr>
        <w:pStyle w:val="ListParagraph"/>
        <w:numPr>
          <w:ilvl w:val="0"/>
          <w:numId w:val="3"/>
        </w:numPr>
        <w:autoSpaceDE w:val="0"/>
        <w:autoSpaceDN w:val="0"/>
        <w:adjustRightInd w:val="0"/>
        <w:spacing w:after="0" w:line="240" w:lineRule="auto"/>
        <w:rPr>
          <w:rFonts w:ascii="Times New Roman" w:hAnsi="Times New Roman" w:cs="Times New Roman"/>
          <w:color w:val="373435"/>
        </w:rPr>
      </w:pPr>
      <w:r w:rsidRPr="007270B3">
        <w:rPr>
          <w:rFonts w:ascii="Times New Roman" w:hAnsi="Times New Roman" w:cs="Times New Roman"/>
          <w:color w:val="373435"/>
        </w:rPr>
        <w:t>As issues relating to environment and climate change need to be given greater impetus and attention, the Fifteenth FC has continued to allocate higher weightage to forest and ecology.</w:t>
      </w:r>
    </w:p>
    <w:p w:rsidR="007270B3" w:rsidRPr="007270B3" w:rsidRDefault="007270B3" w:rsidP="007270B3">
      <w:pPr>
        <w:autoSpaceDE w:val="0"/>
        <w:autoSpaceDN w:val="0"/>
        <w:adjustRightInd w:val="0"/>
        <w:spacing w:after="0" w:line="240" w:lineRule="auto"/>
        <w:rPr>
          <w:rFonts w:ascii="Times New Roman" w:hAnsi="Times New Roman" w:cs="Times New Roman"/>
          <w:color w:val="373435"/>
        </w:rPr>
      </w:pPr>
    </w:p>
    <w:p w:rsidR="007270B3" w:rsidRPr="007270B3" w:rsidRDefault="007270B3" w:rsidP="007270B3">
      <w:pPr>
        <w:pStyle w:val="ListParagraph"/>
        <w:numPr>
          <w:ilvl w:val="0"/>
          <w:numId w:val="3"/>
        </w:numPr>
        <w:autoSpaceDE w:val="0"/>
        <w:autoSpaceDN w:val="0"/>
        <w:adjustRightInd w:val="0"/>
        <w:spacing w:after="0" w:line="240" w:lineRule="auto"/>
        <w:rPr>
          <w:rFonts w:ascii="Times New Roman" w:hAnsi="Times New Roman" w:cs="Times New Roman"/>
          <w:color w:val="373435"/>
        </w:rPr>
      </w:pPr>
      <w:r w:rsidRPr="007270B3">
        <w:rPr>
          <w:rFonts w:ascii="Times New Roman" w:hAnsi="Times New Roman" w:cs="Times New Roman"/>
          <w:color w:val="373435"/>
        </w:rPr>
        <w:t>Fifteenth FC has decided to incentivise tax effort by including it as one of the criteria for horizontal devolution.</w:t>
      </w:r>
    </w:p>
    <w:p w:rsidR="007270B3" w:rsidRPr="007270B3" w:rsidRDefault="007270B3" w:rsidP="007270B3">
      <w:pPr>
        <w:autoSpaceDE w:val="0"/>
        <w:autoSpaceDN w:val="0"/>
        <w:adjustRightInd w:val="0"/>
        <w:spacing w:after="0" w:line="240" w:lineRule="auto"/>
        <w:rPr>
          <w:rFonts w:ascii="Times New Roman" w:hAnsi="Times New Roman" w:cs="Times New Roman"/>
          <w:color w:val="373435"/>
        </w:rPr>
      </w:pPr>
    </w:p>
    <w:p w:rsidR="007270B3" w:rsidRPr="007270B3" w:rsidRDefault="007270B3" w:rsidP="007270B3">
      <w:pPr>
        <w:pStyle w:val="ListParagraph"/>
        <w:numPr>
          <w:ilvl w:val="0"/>
          <w:numId w:val="3"/>
        </w:numPr>
        <w:autoSpaceDE w:val="0"/>
        <w:autoSpaceDN w:val="0"/>
        <w:adjustRightInd w:val="0"/>
        <w:spacing w:after="0" w:line="240" w:lineRule="auto"/>
        <w:rPr>
          <w:rFonts w:ascii="Times New Roman" w:hAnsi="Times New Roman" w:cs="Times New Roman"/>
          <w:color w:val="373435"/>
        </w:rPr>
      </w:pPr>
      <w:r w:rsidRPr="007270B3">
        <w:rPr>
          <w:rFonts w:ascii="Times New Roman" w:hAnsi="Times New Roman" w:cs="Times New Roman"/>
          <w:color w:val="373435"/>
        </w:rPr>
        <w:t xml:space="preserve">Fifteenth FC has provided grants-in-aid for local bodies, disaster relief and for States with a post devolution revenue deficit. However no provision for State-specific grants have been made. </w:t>
      </w:r>
    </w:p>
    <w:p w:rsidR="007270B3" w:rsidRPr="007270B3" w:rsidRDefault="007270B3" w:rsidP="007270B3">
      <w:pPr>
        <w:autoSpaceDE w:val="0"/>
        <w:autoSpaceDN w:val="0"/>
        <w:adjustRightInd w:val="0"/>
        <w:spacing w:after="0" w:line="240" w:lineRule="auto"/>
        <w:rPr>
          <w:rFonts w:ascii="Times New Roman" w:hAnsi="Times New Roman" w:cs="Times New Roman"/>
          <w:color w:val="373435"/>
        </w:rPr>
      </w:pPr>
    </w:p>
    <w:p w:rsidR="007270B3" w:rsidRPr="007270B3" w:rsidRDefault="007270B3" w:rsidP="007270B3">
      <w:pPr>
        <w:pStyle w:val="ListParagraph"/>
        <w:numPr>
          <w:ilvl w:val="0"/>
          <w:numId w:val="3"/>
        </w:numPr>
        <w:autoSpaceDE w:val="0"/>
        <w:autoSpaceDN w:val="0"/>
        <w:adjustRightInd w:val="0"/>
        <w:spacing w:after="0" w:line="240" w:lineRule="auto"/>
        <w:rPr>
          <w:rFonts w:ascii="Times New Roman" w:hAnsi="Times New Roman" w:cs="Times New Roman"/>
          <w:color w:val="373435"/>
        </w:rPr>
      </w:pPr>
      <w:r w:rsidRPr="007270B3">
        <w:rPr>
          <w:rFonts w:ascii="Times New Roman" w:hAnsi="Times New Roman" w:cs="Times New Roman"/>
          <w:color w:val="373435"/>
        </w:rPr>
        <w:t>Fifteenth FC has recommended revenue deficit grants and special grants, besides laying out the broad contours of the sectoral grants and performance-based incentives which would enable state governments to undertake the necessary preparatory work during 2020-21 to optimise the utilisation of resources in the remaining period of the award.</w:t>
      </w:r>
    </w:p>
    <w:p w:rsidR="007270B3" w:rsidRPr="007270B3" w:rsidRDefault="007270B3" w:rsidP="007270B3">
      <w:pPr>
        <w:autoSpaceDE w:val="0"/>
        <w:autoSpaceDN w:val="0"/>
        <w:adjustRightInd w:val="0"/>
        <w:spacing w:after="0" w:line="240" w:lineRule="auto"/>
        <w:rPr>
          <w:rFonts w:ascii="Times New Roman" w:hAnsi="Times New Roman" w:cs="Times New Roman"/>
          <w:color w:val="373435"/>
        </w:rPr>
      </w:pPr>
    </w:p>
    <w:p w:rsidR="007270B3" w:rsidRPr="007270B3" w:rsidRDefault="007270B3" w:rsidP="007270B3">
      <w:pPr>
        <w:pStyle w:val="ListParagraph"/>
        <w:numPr>
          <w:ilvl w:val="0"/>
          <w:numId w:val="3"/>
        </w:numPr>
        <w:autoSpaceDE w:val="0"/>
        <w:autoSpaceDN w:val="0"/>
        <w:adjustRightInd w:val="0"/>
        <w:spacing w:after="0" w:line="240" w:lineRule="auto"/>
        <w:rPr>
          <w:rFonts w:ascii="Times New Roman" w:hAnsi="Times New Roman" w:cs="Times New Roman"/>
          <w:color w:val="373435"/>
        </w:rPr>
      </w:pPr>
      <w:r w:rsidRPr="007270B3">
        <w:rPr>
          <w:rFonts w:ascii="Times New Roman" w:hAnsi="Times New Roman" w:cs="Times New Roman"/>
          <w:color w:val="373435"/>
        </w:rPr>
        <w:t xml:space="preserve">Fifteenth FC has taken into account recent changes due to the re-organisation of the erstwhile State of Jammu and Kashmir. It </w:t>
      </w:r>
      <w:r w:rsidRPr="007270B3">
        <w:rPr>
          <w:rFonts w:ascii="Times New Roman" w:hAnsi="Times New Roman" w:cs="Times New Roman"/>
          <w:color w:val="373435"/>
        </w:rPr>
        <w:t xml:space="preserve">has been </w:t>
      </w:r>
      <w:r w:rsidRPr="007270B3">
        <w:rPr>
          <w:rFonts w:ascii="Times New Roman" w:hAnsi="Times New Roman" w:cs="Times New Roman"/>
          <w:color w:val="373435"/>
        </w:rPr>
        <w:t xml:space="preserve">estimated that the share of the erstwhile State of Jammu and Kashmir would have come to around 0.85 per cent of the divisible pool. Also there is a strong case for enhancing this to 1 per cent of the divisible pool to meet the security and other special needs of the Union Territories of Jammu and Kashmir and Ladakh. Since this enhancement has to be met from the Union's resources, </w:t>
      </w:r>
      <w:r w:rsidRPr="007270B3">
        <w:rPr>
          <w:rFonts w:ascii="Times New Roman" w:hAnsi="Times New Roman" w:cs="Times New Roman"/>
          <w:color w:val="373435"/>
        </w:rPr>
        <w:t xml:space="preserve">it has </w:t>
      </w:r>
      <w:r w:rsidRPr="007270B3">
        <w:rPr>
          <w:rFonts w:ascii="Times New Roman" w:hAnsi="Times New Roman" w:cs="Times New Roman"/>
          <w:color w:val="373435"/>
        </w:rPr>
        <w:t>recommend that the aggregate share of States may be reduced by 1 percentage point to 41 per cent of the divisible pool.</w:t>
      </w:r>
    </w:p>
    <w:p w:rsidR="007270B3" w:rsidRPr="007270B3" w:rsidRDefault="007270B3" w:rsidP="007270B3">
      <w:pPr>
        <w:autoSpaceDE w:val="0"/>
        <w:autoSpaceDN w:val="0"/>
        <w:adjustRightInd w:val="0"/>
        <w:spacing w:after="0" w:line="240" w:lineRule="auto"/>
        <w:rPr>
          <w:rFonts w:ascii="Times New Roman" w:hAnsi="Times New Roman" w:cs="Times New Roman"/>
          <w:color w:val="373435"/>
        </w:rPr>
      </w:pPr>
    </w:p>
    <w:p w:rsidR="007270B3" w:rsidRPr="007270B3" w:rsidRDefault="007270B3" w:rsidP="007270B3">
      <w:pPr>
        <w:pStyle w:val="ListParagraph"/>
        <w:numPr>
          <w:ilvl w:val="0"/>
          <w:numId w:val="3"/>
        </w:numPr>
        <w:autoSpaceDE w:val="0"/>
        <w:autoSpaceDN w:val="0"/>
        <w:adjustRightInd w:val="0"/>
        <w:spacing w:after="0" w:line="240" w:lineRule="auto"/>
        <w:rPr>
          <w:rFonts w:ascii="Times New Roman" w:hAnsi="Times New Roman" w:cs="Times New Roman"/>
          <w:color w:val="373435"/>
        </w:rPr>
      </w:pPr>
      <w:r w:rsidRPr="007270B3">
        <w:rPr>
          <w:rFonts w:ascii="Times New Roman" w:hAnsi="Times New Roman" w:cs="Times New Roman"/>
          <w:b/>
          <w:bCs/>
          <w:color w:val="373435"/>
        </w:rPr>
        <w:t>Criteria and Weights Assigned for Horizontal Devolution</w:t>
      </w:r>
      <w:r w:rsidRPr="007270B3">
        <w:rPr>
          <w:rFonts w:ascii="Times New Roman" w:hAnsi="Times New Roman" w:cs="Times New Roman"/>
          <w:b/>
          <w:bCs/>
          <w:color w:val="FFFFFF"/>
        </w:rPr>
        <w:t xml:space="preserve"> Criteria Weight (%)</w:t>
      </w:r>
    </w:p>
    <w:p w:rsidR="007270B3" w:rsidRPr="007270B3" w:rsidRDefault="007270B3" w:rsidP="007270B3">
      <w:pPr>
        <w:autoSpaceDE w:val="0"/>
        <w:autoSpaceDN w:val="0"/>
        <w:adjustRightInd w:val="0"/>
        <w:spacing w:after="0" w:line="240" w:lineRule="auto"/>
        <w:rPr>
          <w:rFonts w:ascii="Times New Roman" w:hAnsi="Times New Roman" w:cs="Times New Roman"/>
          <w:color w:val="373435"/>
        </w:rPr>
      </w:pPr>
    </w:p>
    <w:p w:rsidR="007270B3" w:rsidRPr="007270B3" w:rsidRDefault="007270B3" w:rsidP="007270B3">
      <w:pPr>
        <w:pStyle w:val="ListParagraph"/>
        <w:numPr>
          <w:ilvl w:val="0"/>
          <w:numId w:val="6"/>
        </w:numPr>
        <w:autoSpaceDE w:val="0"/>
        <w:autoSpaceDN w:val="0"/>
        <w:adjustRightInd w:val="0"/>
        <w:spacing w:after="0" w:line="240" w:lineRule="auto"/>
        <w:jc w:val="both"/>
        <w:rPr>
          <w:rFonts w:ascii="Times New Roman" w:hAnsi="Times New Roman" w:cs="Times New Roman"/>
          <w:color w:val="373435"/>
        </w:rPr>
      </w:pPr>
      <w:r w:rsidRPr="007270B3">
        <w:rPr>
          <w:rFonts w:ascii="Times New Roman" w:hAnsi="Times New Roman" w:cs="Times New Roman"/>
          <w:color w:val="373435"/>
        </w:rPr>
        <w:t>Population-15%</w:t>
      </w:r>
    </w:p>
    <w:p w:rsidR="007270B3" w:rsidRPr="007270B3" w:rsidRDefault="007270B3" w:rsidP="007270B3">
      <w:pPr>
        <w:pStyle w:val="ListParagraph"/>
        <w:numPr>
          <w:ilvl w:val="0"/>
          <w:numId w:val="6"/>
        </w:numPr>
        <w:autoSpaceDE w:val="0"/>
        <w:autoSpaceDN w:val="0"/>
        <w:adjustRightInd w:val="0"/>
        <w:spacing w:after="0" w:line="240" w:lineRule="auto"/>
        <w:jc w:val="both"/>
        <w:rPr>
          <w:rFonts w:ascii="Times New Roman" w:hAnsi="Times New Roman" w:cs="Times New Roman"/>
          <w:color w:val="373435"/>
        </w:rPr>
      </w:pPr>
      <w:r w:rsidRPr="007270B3">
        <w:rPr>
          <w:rFonts w:ascii="Times New Roman" w:hAnsi="Times New Roman" w:cs="Times New Roman"/>
          <w:color w:val="373435"/>
        </w:rPr>
        <w:t>Area-15%</w:t>
      </w:r>
    </w:p>
    <w:p w:rsidR="007270B3" w:rsidRPr="007270B3" w:rsidRDefault="007270B3" w:rsidP="007270B3">
      <w:pPr>
        <w:pStyle w:val="ListParagraph"/>
        <w:numPr>
          <w:ilvl w:val="0"/>
          <w:numId w:val="6"/>
        </w:numPr>
        <w:autoSpaceDE w:val="0"/>
        <w:autoSpaceDN w:val="0"/>
        <w:adjustRightInd w:val="0"/>
        <w:spacing w:after="0" w:line="240" w:lineRule="auto"/>
        <w:jc w:val="both"/>
        <w:rPr>
          <w:rFonts w:ascii="Times New Roman" w:hAnsi="Times New Roman" w:cs="Times New Roman"/>
          <w:color w:val="373435"/>
        </w:rPr>
      </w:pPr>
      <w:r w:rsidRPr="007270B3">
        <w:rPr>
          <w:rFonts w:ascii="Times New Roman" w:hAnsi="Times New Roman" w:cs="Times New Roman"/>
          <w:color w:val="373435"/>
        </w:rPr>
        <w:t>Forest and Ecology-10%</w:t>
      </w:r>
    </w:p>
    <w:p w:rsidR="007270B3" w:rsidRPr="007270B3" w:rsidRDefault="007270B3" w:rsidP="007270B3">
      <w:pPr>
        <w:pStyle w:val="ListParagraph"/>
        <w:numPr>
          <w:ilvl w:val="0"/>
          <w:numId w:val="6"/>
        </w:numPr>
        <w:autoSpaceDE w:val="0"/>
        <w:autoSpaceDN w:val="0"/>
        <w:adjustRightInd w:val="0"/>
        <w:spacing w:after="0" w:line="240" w:lineRule="auto"/>
        <w:jc w:val="both"/>
        <w:rPr>
          <w:rFonts w:ascii="Times New Roman" w:hAnsi="Times New Roman" w:cs="Times New Roman"/>
          <w:color w:val="373435"/>
        </w:rPr>
      </w:pPr>
      <w:r w:rsidRPr="007270B3">
        <w:rPr>
          <w:rFonts w:ascii="Times New Roman" w:hAnsi="Times New Roman" w:cs="Times New Roman"/>
          <w:color w:val="373435"/>
        </w:rPr>
        <w:t>Income Distance-45%</w:t>
      </w:r>
    </w:p>
    <w:p w:rsidR="007270B3" w:rsidRPr="007270B3" w:rsidRDefault="007270B3" w:rsidP="007270B3">
      <w:pPr>
        <w:pStyle w:val="ListParagraph"/>
        <w:numPr>
          <w:ilvl w:val="0"/>
          <w:numId w:val="6"/>
        </w:numPr>
        <w:autoSpaceDE w:val="0"/>
        <w:autoSpaceDN w:val="0"/>
        <w:adjustRightInd w:val="0"/>
        <w:spacing w:after="0" w:line="240" w:lineRule="auto"/>
        <w:jc w:val="both"/>
        <w:rPr>
          <w:rFonts w:ascii="Times New Roman" w:hAnsi="Times New Roman" w:cs="Times New Roman"/>
          <w:color w:val="373435"/>
        </w:rPr>
      </w:pPr>
      <w:r w:rsidRPr="007270B3">
        <w:rPr>
          <w:rFonts w:ascii="Times New Roman" w:hAnsi="Times New Roman" w:cs="Times New Roman"/>
          <w:color w:val="373435"/>
        </w:rPr>
        <w:t>Demographic Performance-</w:t>
      </w:r>
      <w:r w:rsidRPr="007270B3">
        <w:rPr>
          <w:rFonts w:ascii="Times New Roman" w:hAnsi="Times New Roman" w:cs="Times New Roman"/>
          <w:color w:val="373435"/>
        </w:rPr>
        <w:t>12.5</w:t>
      </w:r>
    </w:p>
    <w:p w:rsidR="007270B3" w:rsidRPr="007270B3" w:rsidRDefault="007270B3" w:rsidP="007270B3">
      <w:pPr>
        <w:pStyle w:val="ListParagraph"/>
        <w:numPr>
          <w:ilvl w:val="0"/>
          <w:numId w:val="6"/>
        </w:numPr>
        <w:autoSpaceDE w:val="0"/>
        <w:autoSpaceDN w:val="0"/>
        <w:adjustRightInd w:val="0"/>
        <w:spacing w:after="0" w:line="240" w:lineRule="auto"/>
        <w:jc w:val="both"/>
        <w:rPr>
          <w:rFonts w:ascii="Times New Roman" w:hAnsi="Times New Roman" w:cs="Times New Roman"/>
          <w:color w:val="373435"/>
        </w:rPr>
      </w:pPr>
      <w:r w:rsidRPr="007270B3">
        <w:rPr>
          <w:rFonts w:ascii="Times New Roman" w:hAnsi="Times New Roman" w:cs="Times New Roman"/>
          <w:color w:val="373435"/>
        </w:rPr>
        <w:t>Tax Effort-</w:t>
      </w:r>
      <w:r w:rsidRPr="007270B3">
        <w:rPr>
          <w:rFonts w:ascii="Times New Roman" w:hAnsi="Times New Roman" w:cs="Times New Roman"/>
          <w:color w:val="373435"/>
        </w:rPr>
        <w:t>2.5</w:t>
      </w:r>
    </w:p>
    <w:p w:rsidR="007270B3" w:rsidRPr="007270B3" w:rsidRDefault="007270B3" w:rsidP="007270B3">
      <w:pPr>
        <w:autoSpaceDE w:val="0"/>
        <w:autoSpaceDN w:val="0"/>
        <w:adjustRightInd w:val="0"/>
        <w:spacing w:after="0" w:line="240" w:lineRule="auto"/>
        <w:jc w:val="both"/>
        <w:rPr>
          <w:rFonts w:ascii="Times New Roman" w:hAnsi="Times New Roman" w:cs="Times New Roman"/>
          <w:color w:val="373435"/>
        </w:rPr>
      </w:pPr>
    </w:p>
    <w:p w:rsidR="007270B3" w:rsidRPr="007270B3" w:rsidRDefault="007270B3" w:rsidP="007270B3">
      <w:pPr>
        <w:autoSpaceDE w:val="0"/>
        <w:autoSpaceDN w:val="0"/>
        <w:adjustRightInd w:val="0"/>
        <w:spacing w:after="0" w:line="240" w:lineRule="auto"/>
        <w:rPr>
          <w:rFonts w:ascii="Times New Roman" w:hAnsi="Times New Roman" w:cs="Times New Roman"/>
          <w:color w:val="373435"/>
        </w:rPr>
      </w:pPr>
    </w:p>
    <w:p w:rsidR="007270B3" w:rsidRPr="007270B3" w:rsidRDefault="007270B3" w:rsidP="007270B3">
      <w:pPr>
        <w:pStyle w:val="ListParagraph"/>
        <w:numPr>
          <w:ilvl w:val="0"/>
          <w:numId w:val="3"/>
        </w:numPr>
        <w:autoSpaceDE w:val="0"/>
        <w:autoSpaceDN w:val="0"/>
        <w:adjustRightInd w:val="0"/>
        <w:spacing w:after="0" w:line="240" w:lineRule="auto"/>
        <w:rPr>
          <w:rFonts w:ascii="Times New Roman" w:hAnsi="Times New Roman" w:cs="Times New Roman"/>
          <w:color w:val="373435"/>
        </w:rPr>
      </w:pPr>
      <w:r w:rsidRPr="007270B3">
        <w:rPr>
          <w:rFonts w:ascii="Times New Roman" w:hAnsi="Times New Roman" w:cs="Times New Roman"/>
          <w:color w:val="373435"/>
        </w:rPr>
        <w:t>Based upon the</w:t>
      </w:r>
      <w:r w:rsidRPr="007270B3">
        <w:rPr>
          <w:rFonts w:ascii="Times New Roman" w:hAnsi="Times New Roman" w:cs="Times New Roman"/>
          <w:color w:val="373435"/>
        </w:rPr>
        <w:t xml:space="preserve"> assessment of the post-devolution revenue surplus/deficit of the States for 2020-21, Fifteenth FC have estimated that fourteen States will need revenue deficit grants amounting to </w:t>
      </w:r>
      <w:proofErr w:type="spellStart"/>
      <w:r w:rsidRPr="007270B3">
        <w:rPr>
          <w:rFonts w:ascii="Times New Roman" w:hAnsi="Times New Roman" w:cs="Times New Roman"/>
          <w:color w:val="373435"/>
        </w:rPr>
        <w:t>Rs</w:t>
      </w:r>
      <w:proofErr w:type="spellEnd"/>
      <w:r w:rsidRPr="007270B3">
        <w:rPr>
          <w:rFonts w:ascii="Times New Roman" w:hAnsi="Times New Roman" w:cs="Times New Roman"/>
          <w:color w:val="373435"/>
        </w:rPr>
        <w:t xml:space="preserve">. 74,340 crore. </w:t>
      </w:r>
      <w:r w:rsidRPr="007270B3">
        <w:rPr>
          <w:rFonts w:ascii="Times New Roman" w:hAnsi="Times New Roman" w:cs="Times New Roman"/>
          <w:color w:val="373435"/>
        </w:rPr>
        <w:t xml:space="preserve"> </w:t>
      </w:r>
      <w:r w:rsidRPr="007270B3">
        <w:rPr>
          <w:rFonts w:ascii="Times New Roman" w:hAnsi="Times New Roman" w:cs="Times New Roman"/>
          <w:color w:val="373435"/>
        </w:rPr>
        <w:t xml:space="preserve">It has also provided special grants of </w:t>
      </w:r>
      <w:proofErr w:type="spellStart"/>
      <w:r w:rsidRPr="007270B3">
        <w:rPr>
          <w:rFonts w:ascii="Times New Roman" w:hAnsi="Times New Roman" w:cs="Times New Roman"/>
          <w:color w:val="373435"/>
        </w:rPr>
        <w:t>Rs</w:t>
      </w:r>
      <w:proofErr w:type="spellEnd"/>
      <w:r w:rsidRPr="007270B3">
        <w:rPr>
          <w:rFonts w:ascii="Times New Roman" w:hAnsi="Times New Roman" w:cs="Times New Roman"/>
          <w:color w:val="373435"/>
        </w:rPr>
        <w:t>. 6,764 crore for three States in which the sum of tax devolution and revenue deficit grants is projected to decline in 2020-21 over 2019-20.</w:t>
      </w:r>
      <w:r w:rsidRPr="007270B3">
        <w:rPr>
          <w:rFonts w:ascii="Times New Roman" w:hAnsi="Times New Roman" w:cs="Times New Roman"/>
          <w:color w:val="373435"/>
        </w:rPr>
        <w:t xml:space="preserve"> </w:t>
      </w:r>
    </w:p>
    <w:p w:rsidR="007270B3" w:rsidRPr="007270B3" w:rsidRDefault="007270B3" w:rsidP="007270B3">
      <w:pPr>
        <w:autoSpaceDE w:val="0"/>
        <w:autoSpaceDN w:val="0"/>
        <w:adjustRightInd w:val="0"/>
        <w:spacing w:after="0" w:line="240" w:lineRule="auto"/>
        <w:rPr>
          <w:rFonts w:ascii="Times New Roman" w:hAnsi="Times New Roman" w:cs="Times New Roman"/>
          <w:color w:val="373435"/>
        </w:rPr>
      </w:pPr>
    </w:p>
    <w:p w:rsidR="007270B3" w:rsidRPr="007270B3" w:rsidRDefault="007270B3" w:rsidP="007270B3">
      <w:pPr>
        <w:pStyle w:val="ListParagraph"/>
        <w:numPr>
          <w:ilvl w:val="0"/>
          <w:numId w:val="3"/>
        </w:numPr>
        <w:autoSpaceDE w:val="0"/>
        <w:autoSpaceDN w:val="0"/>
        <w:adjustRightInd w:val="0"/>
        <w:spacing w:after="0" w:line="240" w:lineRule="auto"/>
        <w:rPr>
          <w:rFonts w:ascii="Times New Roman" w:hAnsi="Times New Roman" w:cs="Times New Roman"/>
          <w:color w:val="373435"/>
        </w:rPr>
      </w:pPr>
      <w:r w:rsidRPr="007270B3">
        <w:rPr>
          <w:rFonts w:ascii="Times New Roman" w:hAnsi="Times New Roman" w:cs="Times New Roman"/>
          <w:color w:val="373435"/>
        </w:rPr>
        <w:t xml:space="preserve">Malnutrition of infants is a human capital issue that cannot wait to be addressed. Hence it has made an exception in the case of the nutrition sector by giving it a grant of </w:t>
      </w:r>
      <w:proofErr w:type="spellStart"/>
      <w:r w:rsidRPr="007270B3">
        <w:rPr>
          <w:rFonts w:ascii="Times New Roman" w:hAnsi="Times New Roman" w:cs="Times New Roman"/>
          <w:color w:val="373435"/>
        </w:rPr>
        <w:t>Rs</w:t>
      </w:r>
      <w:proofErr w:type="spellEnd"/>
      <w:r w:rsidRPr="007270B3">
        <w:rPr>
          <w:rFonts w:ascii="Times New Roman" w:hAnsi="Times New Roman" w:cs="Times New Roman"/>
          <w:color w:val="373435"/>
        </w:rPr>
        <w:t>. 7,735 crore in 2020- 21 itself.</w:t>
      </w:r>
    </w:p>
    <w:p w:rsidR="007270B3" w:rsidRPr="007270B3" w:rsidRDefault="007270B3" w:rsidP="007270B3">
      <w:pPr>
        <w:pStyle w:val="ListParagraph"/>
        <w:rPr>
          <w:rFonts w:ascii="Times New Roman" w:hAnsi="Times New Roman" w:cs="Times New Roman"/>
          <w:color w:val="373435"/>
        </w:rPr>
      </w:pPr>
    </w:p>
    <w:p w:rsidR="007270B3" w:rsidRPr="007270B3" w:rsidRDefault="007270B3" w:rsidP="007270B3">
      <w:pPr>
        <w:pStyle w:val="ListParagraph"/>
        <w:numPr>
          <w:ilvl w:val="0"/>
          <w:numId w:val="3"/>
        </w:numPr>
        <w:autoSpaceDE w:val="0"/>
        <w:autoSpaceDN w:val="0"/>
        <w:adjustRightInd w:val="0"/>
        <w:spacing w:after="0" w:line="240" w:lineRule="auto"/>
        <w:rPr>
          <w:rFonts w:ascii="Times New Roman" w:hAnsi="Times New Roman" w:cs="Times New Roman"/>
          <w:color w:val="373435"/>
        </w:rPr>
      </w:pPr>
      <w:r w:rsidRPr="007270B3">
        <w:rPr>
          <w:rFonts w:ascii="Times New Roman" w:hAnsi="Times New Roman" w:cs="Times New Roman"/>
          <w:color w:val="373435"/>
        </w:rPr>
        <w:t>Given</w:t>
      </w:r>
      <w:r w:rsidRPr="007270B3">
        <w:rPr>
          <w:rFonts w:ascii="Times New Roman" w:hAnsi="Times New Roman" w:cs="Times New Roman"/>
          <w:color w:val="373435"/>
        </w:rPr>
        <w:t xml:space="preserve"> the fina</w:t>
      </w:r>
      <w:r w:rsidRPr="007270B3">
        <w:rPr>
          <w:rFonts w:ascii="Times New Roman" w:hAnsi="Times New Roman" w:cs="Times New Roman"/>
          <w:color w:val="373435"/>
        </w:rPr>
        <w:t>ncial constraints in 2020-21, the FC has</w:t>
      </w:r>
      <w:r w:rsidRPr="007270B3">
        <w:rPr>
          <w:rFonts w:ascii="Times New Roman" w:hAnsi="Times New Roman" w:cs="Times New Roman"/>
          <w:color w:val="373435"/>
        </w:rPr>
        <w:t xml:space="preserve"> </w:t>
      </w:r>
      <w:r w:rsidRPr="007270B3">
        <w:rPr>
          <w:rFonts w:ascii="Times New Roman" w:hAnsi="Times New Roman" w:cs="Times New Roman"/>
          <w:color w:val="373435"/>
        </w:rPr>
        <w:t>refrained from recommending</w:t>
      </w:r>
      <w:r w:rsidRPr="007270B3">
        <w:rPr>
          <w:rFonts w:ascii="Times New Roman" w:hAnsi="Times New Roman" w:cs="Times New Roman"/>
          <w:color w:val="373435"/>
        </w:rPr>
        <w:t xml:space="preserve"> any State-specific gra</w:t>
      </w:r>
      <w:r w:rsidRPr="007270B3">
        <w:rPr>
          <w:rFonts w:ascii="Times New Roman" w:hAnsi="Times New Roman" w:cs="Times New Roman"/>
          <w:color w:val="373435"/>
        </w:rPr>
        <w:t>nts for the present year and has proposed to look into it later depending on available fiscal space.</w:t>
      </w:r>
    </w:p>
    <w:p w:rsidR="007270B3" w:rsidRPr="007270B3" w:rsidRDefault="007270B3" w:rsidP="007270B3">
      <w:pPr>
        <w:autoSpaceDE w:val="0"/>
        <w:autoSpaceDN w:val="0"/>
        <w:adjustRightInd w:val="0"/>
        <w:spacing w:after="0" w:line="240" w:lineRule="auto"/>
        <w:rPr>
          <w:rFonts w:ascii="Times New Roman" w:hAnsi="Times New Roman" w:cs="Times New Roman"/>
          <w:color w:val="373435"/>
        </w:rPr>
      </w:pPr>
    </w:p>
    <w:p w:rsidR="007270B3" w:rsidRPr="007270B3" w:rsidRDefault="007270B3" w:rsidP="007270B3">
      <w:pPr>
        <w:pStyle w:val="ListParagraph"/>
        <w:numPr>
          <w:ilvl w:val="0"/>
          <w:numId w:val="3"/>
        </w:numPr>
        <w:autoSpaceDE w:val="0"/>
        <w:autoSpaceDN w:val="0"/>
        <w:adjustRightInd w:val="0"/>
        <w:spacing w:after="0" w:line="240" w:lineRule="auto"/>
        <w:rPr>
          <w:rFonts w:ascii="Times New Roman" w:hAnsi="Times New Roman" w:cs="Times New Roman"/>
          <w:color w:val="373435"/>
        </w:rPr>
      </w:pPr>
      <w:r w:rsidRPr="007270B3">
        <w:rPr>
          <w:rFonts w:ascii="Times New Roman" w:hAnsi="Times New Roman" w:cs="Times New Roman"/>
          <w:color w:val="373435"/>
        </w:rPr>
        <w:t xml:space="preserve">It </w:t>
      </w:r>
      <w:r w:rsidRPr="007270B3">
        <w:rPr>
          <w:rFonts w:ascii="Times New Roman" w:hAnsi="Times New Roman" w:cs="Times New Roman"/>
          <w:color w:val="373435"/>
        </w:rPr>
        <w:t>has recommended</w:t>
      </w:r>
      <w:r w:rsidRPr="007270B3">
        <w:rPr>
          <w:rFonts w:ascii="Times New Roman" w:hAnsi="Times New Roman" w:cs="Times New Roman"/>
          <w:color w:val="373435"/>
        </w:rPr>
        <w:t xml:space="preserve"> an amount of </w:t>
      </w:r>
      <w:proofErr w:type="spellStart"/>
      <w:r w:rsidRPr="007270B3">
        <w:rPr>
          <w:rFonts w:ascii="Times New Roman" w:hAnsi="Times New Roman" w:cs="Times New Roman"/>
          <w:color w:val="373435"/>
        </w:rPr>
        <w:t>Rs</w:t>
      </w:r>
      <w:proofErr w:type="spellEnd"/>
      <w:r w:rsidRPr="007270B3">
        <w:rPr>
          <w:rFonts w:ascii="Times New Roman" w:hAnsi="Times New Roman" w:cs="Times New Roman"/>
          <w:color w:val="373435"/>
        </w:rPr>
        <w:t>. 90,000 crore as grants to local bodies for 2020-21, which is 4.31 per cent of the estimated divisible pool</w:t>
      </w:r>
      <w:r w:rsidRPr="007270B3">
        <w:rPr>
          <w:rFonts w:ascii="Times New Roman" w:hAnsi="Times New Roman" w:cs="Times New Roman"/>
          <w:color w:val="373435"/>
        </w:rPr>
        <w:t xml:space="preserve"> in an effort </w:t>
      </w:r>
      <w:r w:rsidRPr="007270B3">
        <w:rPr>
          <w:rFonts w:ascii="Times New Roman" w:hAnsi="Times New Roman" w:cs="Times New Roman"/>
          <w:color w:val="373435"/>
        </w:rPr>
        <w:t xml:space="preserve">to increase the share of local </w:t>
      </w:r>
      <w:r w:rsidRPr="007270B3">
        <w:rPr>
          <w:rFonts w:ascii="Times New Roman" w:hAnsi="Times New Roman" w:cs="Times New Roman"/>
          <w:color w:val="373435"/>
        </w:rPr>
        <w:t>bodies’</w:t>
      </w:r>
      <w:r w:rsidRPr="007270B3">
        <w:rPr>
          <w:rFonts w:ascii="Times New Roman" w:hAnsi="Times New Roman" w:cs="Times New Roman"/>
          <w:color w:val="373435"/>
        </w:rPr>
        <w:t xml:space="preserve"> grants for urban areas.</w:t>
      </w:r>
      <w:r w:rsidRPr="007270B3">
        <w:rPr>
          <w:rFonts w:ascii="Times New Roman" w:hAnsi="Times New Roman" w:cs="Times New Roman"/>
          <w:color w:val="373435"/>
        </w:rPr>
        <w:t xml:space="preserve"> U</w:t>
      </w:r>
      <w:r w:rsidRPr="007270B3">
        <w:rPr>
          <w:rFonts w:ascii="Times New Roman" w:hAnsi="Times New Roman" w:cs="Times New Roman"/>
          <w:color w:val="373435"/>
        </w:rPr>
        <w:t>nlike the previous commission, Fifteenth FC has provided grants to all the three tiers of panchayats, as also to areas under the Fifth and Sixth Schedule of the</w:t>
      </w:r>
      <w:r w:rsidRPr="007270B3">
        <w:rPr>
          <w:rFonts w:ascii="Times New Roman" w:hAnsi="Times New Roman" w:cs="Times New Roman"/>
          <w:color w:val="373435"/>
        </w:rPr>
        <w:t xml:space="preserve"> </w:t>
      </w:r>
      <w:r w:rsidRPr="007270B3">
        <w:rPr>
          <w:rFonts w:ascii="Times New Roman" w:hAnsi="Times New Roman" w:cs="Times New Roman"/>
          <w:color w:val="373435"/>
        </w:rPr>
        <w:t xml:space="preserve">Constitution and Cantonment Boards in urban areas. While 50 per cent grants to rural local bodies are untied, the remaining 50 per cent would be tied as grants for sanitation and water supply which are identified national priorities. </w:t>
      </w:r>
    </w:p>
    <w:p w:rsidR="007270B3" w:rsidRPr="007270B3" w:rsidRDefault="007270B3" w:rsidP="007270B3">
      <w:pPr>
        <w:autoSpaceDE w:val="0"/>
        <w:autoSpaceDN w:val="0"/>
        <w:adjustRightInd w:val="0"/>
        <w:spacing w:after="0" w:line="240" w:lineRule="auto"/>
        <w:rPr>
          <w:rFonts w:ascii="Times New Roman" w:hAnsi="Times New Roman" w:cs="Times New Roman"/>
          <w:color w:val="373435"/>
        </w:rPr>
      </w:pPr>
    </w:p>
    <w:p w:rsidR="007270B3" w:rsidRPr="007270B3" w:rsidRDefault="007270B3" w:rsidP="007270B3">
      <w:pPr>
        <w:pStyle w:val="ListParagraph"/>
        <w:numPr>
          <w:ilvl w:val="0"/>
          <w:numId w:val="3"/>
        </w:numPr>
        <w:autoSpaceDE w:val="0"/>
        <w:autoSpaceDN w:val="0"/>
        <w:adjustRightInd w:val="0"/>
        <w:spacing w:after="0" w:line="240" w:lineRule="auto"/>
        <w:rPr>
          <w:rFonts w:ascii="Times New Roman" w:hAnsi="Times New Roman" w:cs="Times New Roman"/>
          <w:color w:val="373435"/>
        </w:rPr>
      </w:pPr>
      <w:r w:rsidRPr="007270B3">
        <w:rPr>
          <w:rFonts w:ascii="Times New Roman" w:hAnsi="Times New Roman" w:cs="Times New Roman"/>
          <w:color w:val="373435"/>
        </w:rPr>
        <w:t>For rural local bodies, no conditions have been prescribed for getting the grants in 2020-21. However, from 2021-22 onwards, the entry level conditions for rural local bodies getting these grants is the timely submission of audited accounts.</w:t>
      </w:r>
    </w:p>
    <w:p w:rsidR="007270B3" w:rsidRPr="007270B3" w:rsidRDefault="007270B3" w:rsidP="007270B3">
      <w:pPr>
        <w:autoSpaceDE w:val="0"/>
        <w:autoSpaceDN w:val="0"/>
        <w:adjustRightInd w:val="0"/>
        <w:spacing w:after="0" w:line="240" w:lineRule="auto"/>
        <w:rPr>
          <w:rFonts w:ascii="Times New Roman" w:hAnsi="Times New Roman" w:cs="Times New Roman"/>
          <w:color w:val="373435"/>
        </w:rPr>
      </w:pPr>
    </w:p>
    <w:p w:rsidR="007270B3" w:rsidRPr="007270B3" w:rsidRDefault="007270B3" w:rsidP="007270B3">
      <w:pPr>
        <w:pStyle w:val="ListParagraph"/>
        <w:numPr>
          <w:ilvl w:val="0"/>
          <w:numId w:val="3"/>
        </w:numPr>
        <w:autoSpaceDE w:val="0"/>
        <w:autoSpaceDN w:val="0"/>
        <w:adjustRightInd w:val="0"/>
        <w:spacing w:after="0" w:line="240" w:lineRule="auto"/>
        <w:rPr>
          <w:rFonts w:ascii="Times New Roman" w:hAnsi="Times New Roman" w:cs="Times New Roman"/>
          <w:color w:val="373435"/>
        </w:rPr>
      </w:pPr>
      <w:r w:rsidRPr="007270B3">
        <w:rPr>
          <w:rFonts w:ascii="Times New Roman" w:hAnsi="Times New Roman" w:cs="Times New Roman"/>
          <w:color w:val="373435"/>
        </w:rPr>
        <w:t xml:space="preserve">In the case of urban </w:t>
      </w:r>
      <w:r w:rsidRPr="007270B3">
        <w:rPr>
          <w:rFonts w:ascii="Times New Roman" w:hAnsi="Times New Roman" w:cs="Times New Roman"/>
          <w:color w:val="373435"/>
        </w:rPr>
        <w:t>local bodies, it has</w:t>
      </w:r>
      <w:r w:rsidRPr="007270B3">
        <w:rPr>
          <w:rFonts w:ascii="Times New Roman" w:hAnsi="Times New Roman" w:cs="Times New Roman"/>
          <w:color w:val="373435"/>
        </w:rPr>
        <w:t xml:space="preserve"> differentiated between cities by dividing them into two categories: (a) Million-Plus urban agglomerations/cities and (b) all other cities and towns with less than one million population. Larger cities will have a tendency to grow faster, and grants are provided to fifty Million-Plus cities on agglomeration basis, with special emphasis on meeting the challenges of poor air quality, ground water depletion and sanitation. </w:t>
      </w:r>
    </w:p>
    <w:p w:rsidR="007270B3" w:rsidRPr="007270B3" w:rsidRDefault="007270B3" w:rsidP="007270B3">
      <w:pPr>
        <w:autoSpaceDE w:val="0"/>
        <w:autoSpaceDN w:val="0"/>
        <w:adjustRightInd w:val="0"/>
        <w:spacing w:after="0" w:line="240" w:lineRule="auto"/>
        <w:rPr>
          <w:rFonts w:ascii="Times New Roman" w:hAnsi="Times New Roman" w:cs="Times New Roman"/>
          <w:color w:val="373435"/>
        </w:rPr>
      </w:pPr>
    </w:p>
    <w:p w:rsidR="007270B3" w:rsidRPr="007270B3" w:rsidRDefault="007270B3" w:rsidP="007270B3">
      <w:pPr>
        <w:pStyle w:val="ListParagraph"/>
        <w:numPr>
          <w:ilvl w:val="0"/>
          <w:numId w:val="3"/>
        </w:numPr>
        <w:autoSpaceDE w:val="0"/>
        <w:autoSpaceDN w:val="0"/>
        <w:adjustRightInd w:val="0"/>
        <w:spacing w:after="0" w:line="240" w:lineRule="auto"/>
        <w:rPr>
          <w:rFonts w:ascii="Times New Roman" w:hAnsi="Times New Roman" w:cs="Times New Roman"/>
          <w:color w:val="373435"/>
        </w:rPr>
      </w:pPr>
      <w:r w:rsidRPr="007270B3">
        <w:rPr>
          <w:rFonts w:ascii="Times New Roman" w:hAnsi="Times New Roman" w:cs="Times New Roman"/>
          <w:color w:val="373435"/>
        </w:rPr>
        <w:t xml:space="preserve">For non-Million-Plus towns, 50 per cent of the funds are untied and the remaining 50 per cent tied, with an equal share for drinking water and sanitation. Though Fifteenth FC </w:t>
      </w:r>
      <w:r w:rsidRPr="007270B3">
        <w:rPr>
          <w:rFonts w:ascii="Times New Roman" w:hAnsi="Times New Roman" w:cs="Times New Roman"/>
          <w:color w:val="373435"/>
        </w:rPr>
        <w:t>has</w:t>
      </w:r>
      <w:r w:rsidRPr="007270B3">
        <w:rPr>
          <w:rFonts w:ascii="Times New Roman" w:hAnsi="Times New Roman" w:cs="Times New Roman"/>
          <w:color w:val="373435"/>
        </w:rPr>
        <w:t xml:space="preserve"> not recommended any conditions for u</w:t>
      </w:r>
      <w:r w:rsidRPr="007270B3">
        <w:rPr>
          <w:rFonts w:ascii="Times New Roman" w:hAnsi="Times New Roman" w:cs="Times New Roman"/>
          <w:color w:val="373435"/>
        </w:rPr>
        <w:t>rban local bodies in 2020-21, it has</w:t>
      </w:r>
      <w:r w:rsidRPr="007270B3">
        <w:rPr>
          <w:rFonts w:ascii="Times New Roman" w:hAnsi="Times New Roman" w:cs="Times New Roman"/>
          <w:color w:val="373435"/>
        </w:rPr>
        <w:t xml:space="preserve"> recommend</w:t>
      </w:r>
      <w:r w:rsidRPr="007270B3">
        <w:rPr>
          <w:rFonts w:ascii="Times New Roman" w:hAnsi="Times New Roman" w:cs="Times New Roman"/>
          <w:color w:val="373435"/>
        </w:rPr>
        <w:t>ed</w:t>
      </w:r>
      <w:r w:rsidRPr="007270B3">
        <w:rPr>
          <w:rFonts w:ascii="Times New Roman" w:hAnsi="Times New Roman" w:cs="Times New Roman"/>
          <w:color w:val="373435"/>
        </w:rPr>
        <w:t xml:space="preserve"> two entry level conditions in the subsequent years – notifying the floor or minimum rates of property tax to improve own revenues and timely submission of audited accounts.</w:t>
      </w:r>
    </w:p>
    <w:p w:rsidR="007270B3" w:rsidRPr="007270B3" w:rsidRDefault="007270B3" w:rsidP="007270B3">
      <w:pPr>
        <w:autoSpaceDE w:val="0"/>
        <w:autoSpaceDN w:val="0"/>
        <w:adjustRightInd w:val="0"/>
        <w:spacing w:after="0" w:line="240" w:lineRule="auto"/>
        <w:rPr>
          <w:rFonts w:ascii="Times New Roman" w:hAnsi="Times New Roman" w:cs="Times New Roman"/>
          <w:color w:val="373435"/>
        </w:rPr>
      </w:pPr>
    </w:p>
    <w:p w:rsidR="007270B3" w:rsidRPr="007270B3" w:rsidRDefault="007270B3" w:rsidP="007270B3">
      <w:pPr>
        <w:pStyle w:val="ListParagraph"/>
        <w:numPr>
          <w:ilvl w:val="0"/>
          <w:numId w:val="3"/>
        </w:numPr>
        <w:autoSpaceDE w:val="0"/>
        <w:autoSpaceDN w:val="0"/>
        <w:adjustRightInd w:val="0"/>
        <w:spacing w:after="0" w:line="240" w:lineRule="auto"/>
        <w:rPr>
          <w:rFonts w:ascii="Times New Roman" w:hAnsi="Times New Roman" w:cs="Times New Roman"/>
          <w:color w:val="373435"/>
        </w:rPr>
      </w:pPr>
      <w:r w:rsidRPr="007270B3">
        <w:rPr>
          <w:rFonts w:ascii="Times New Roman" w:hAnsi="Times New Roman" w:cs="Times New Roman"/>
          <w:color w:val="373435"/>
        </w:rPr>
        <w:t xml:space="preserve">For determining state-wise allocations </w:t>
      </w:r>
      <w:r w:rsidRPr="007270B3">
        <w:rPr>
          <w:rFonts w:ascii="Times New Roman" w:hAnsi="Times New Roman" w:cs="Times New Roman"/>
          <w:color w:val="373435"/>
        </w:rPr>
        <w:t xml:space="preserve">for disaster risk management, </w:t>
      </w:r>
      <w:r w:rsidRPr="007270B3">
        <w:rPr>
          <w:rFonts w:ascii="Times New Roman" w:hAnsi="Times New Roman" w:cs="Times New Roman"/>
          <w:color w:val="373435"/>
        </w:rPr>
        <w:t xml:space="preserve">Fifteenth FC </w:t>
      </w:r>
      <w:r w:rsidRPr="007270B3">
        <w:rPr>
          <w:rFonts w:ascii="Times New Roman" w:hAnsi="Times New Roman" w:cs="Times New Roman"/>
          <w:color w:val="373435"/>
        </w:rPr>
        <w:t xml:space="preserve">has </w:t>
      </w:r>
      <w:r w:rsidRPr="007270B3">
        <w:rPr>
          <w:rFonts w:ascii="Times New Roman" w:hAnsi="Times New Roman" w:cs="Times New Roman"/>
          <w:color w:val="373435"/>
        </w:rPr>
        <w:t>recommend</w:t>
      </w:r>
      <w:r w:rsidRPr="007270B3">
        <w:rPr>
          <w:rFonts w:ascii="Times New Roman" w:hAnsi="Times New Roman" w:cs="Times New Roman"/>
          <w:color w:val="373435"/>
        </w:rPr>
        <w:t xml:space="preserve">ed </w:t>
      </w:r>
      <w:r w:rsidRPr="007270B3">
        <w:rPr>
          <w:rFonts w:ascii="Times New Roman" w:hAnsi="Times New Roman" w:cs="Times New Roman"/>
          <w:color w:val="373435"/>
        </w:rPr>
        <w:t xml:space="preserve">a new methodology which combines capacity (as reflected through past expenditure), risk exposure (area and population) and proneness to hazard and vulnerability (disaster risk index). The total amount recommended for the States is </w:t>
      </w:r>
      <w:proofErr w:type="spellStart"/>
      <w:r w:rsidRPr="007270B3">
        <w:rPr>
          <w:rFonts w:ascii="Times New Roman" w:hAnsi="Times New Roman" w:cs="Times New Roman"/>
          <w:color w:val="373435"/>
        </w:rPr>
        <w:t>Rs</w:t>
      </w:r>
      <w:proofErr w:type="spellEnd"/>
      <w:r w:rsidRPr="007270B3">
        <w:rPr>
          <w:rFonts w:ascii="Times New Roman" w:hAnsi="Times New Roman" w:cs="Times New Roman"/>
          <w:color w:val="373435"/>
        </w:rPr>
        <w:t xml:space="preserve">. 28,983 crore in 2020-21, of which </w:t>
      </w:r>
      <w:proofErr w:type="spellStart"/>
      <w:r w:rsidRPr="007270B3">
        <w:rPr>
          <w:rFonts w:ascii="Times New Roman" w:hAnsi="Times New Roman" w:cs="Times New Roman"/>
          <w:color w:val="373435"/>
        </w:rPr>
        <w:t>Rs</w:t>
      </w:r>
      <w:proofErr w:type="spellEnd"/>
      <w:r w:rsidRPr="007270B3">
        <w:rPr>
          <w:rFonts w:ascii="Times New Roman" w:hAnsi="Times New Roman" w:cs="Times New Roman"/>
          <w:color w:val="373435"/>
        </w:rPr>
        <w:t xml:space="preserve">. 22,184 crore is the Union share. In line with the provisions of the Disaster Management Act, 2005, </w:t>
      </w:r>
      <w:r w:rsidRPr="007270B3">
        <w:rPr>
          <w:rFonts w:ascii="Times New Roman" w:hAnsi="Times New Roman" w:cs="Times New Roman"/>
          <w:color w:val="373435"/>
        </w:rPr>
        <w:t xml:space="preserve">it has recommend </w:t>
      </w:r>
      <w:r w:rsidRPr="007270B3">
        <w:rPr>
          <w:rFonts w:ascii="Times New Roman" w:hAnsi="Times New Roman" w:cs="Times New Roman"/>
          <w:color w:val="373435"/>
        </w:rPr>
        <w:t>setting up of mitigation funds at both national and state levels in the</w:t>
      </w:r>
      <w:r w:rsidRPr="007270B3">
        <w:rPr>
          <w:rFonts w:ascii="Times New Roman" w:hAnsi="Times New Roman" w:cs="Times New Roman"/>
          <w:color w:val="373435"/>
        </w:rPr>
        <w:t xml:space="preserve"> </w:t>
      </w:r>
      <w:r w:rsidRPr="007270B3">
        <w:rPr>
          <w:rFonts w:ascii="Times New Roman" w:hAnsi="Times New Roman" w:cs="Times New Roman"/>
          <w:color w:val="373435"/>
        </w:rPr>
        <w:t xml:space="preserve">form of a National Disaster Mitigation Fund (NDMF) and State Disaster Mitigation Funds (SDMF). </w:t>
      </w:r>
      <w:r w:rsidRPr="007270B3">
        <w:rPr>
          <w:rFonts w:ascii="Times New Roman" w:hAnsi="Times New Roman" w:cs="Times New Roman"/>
          <w:color w:val="373435"/>
        </w:rPr>
        <w:t>It has</w:t>
      </w:r>
      <w:r w:rsidRPr="007270B3">
        <w:rPr>
          <w:rFonts w:ascii="Times New Roman" w:hAnsi="Times New Roman" w:cs="Times New Roman"/>
          <w:color w:val="373435"/>
        </w:rPr>
        <w:t xml:space="preserve"> also recommended </w:t>
      </w:r>
      <w:r w:rsidRPr="007270B3">
        <w:rPr>
          <w:rFonts w:ascii="Times New Roman" w:hAnsi="Times New Roman" w:cs="Times New Roman"/>
          <w:color w:val="373435"/>
        </w:rPr>
        <w:t xml:space="preserve">additional </w:t>
      </w:r>
      <w:r w:rsidRPr="007270B3">
        <w:rPr>
          <w:rFonts w:ascii="Times New Roman" w:hAnsi="Times New Roman" w:cs="Times New Roman"/>
          <w:color w:val="373435"/>
        </w:rPr>
        <w:t>funds for the National Disaster Response Fund (NDRF)</w:t>
      </w:r>
      <w:r w:rsidRPr="007270B3">
        <w:rPr>
          <w:rFonts w:ascii="Times New Roman" w:hAnsi="Times New Roman" w:cs="Times New Roman"/>
          <w:color w:val="373435"/>
        </w:rPr>
        <w:t xml:space="preserve"> </w:t>
      </w:r>
      <w:r w:rsidRPr="007270B3">
        <w:rPr>
          <w:rFonts w:ascii="Times New Roman" w:hAnsi="Times New Roman" w:cs="Times New Roman"/>
          <w:color w:val="373435"/>
        </w:rPr>
        <w:t xml:space="preserve">since the levy of National Calamity Contingent Duty (NCCD) </w:t>
      </w:r>
      <w:bookmarkStart w:id="0" w:name="_GoBack"/>
      <w:bookmarkEnd w:id="0"/>
      <w:r w:rsidRPr="007270B3">
        <w:rPr>
          <w:rFonts w:ascii="Times New Roman" w:hAnsi="Times New Roman" w:cs="Times New Roman"/>
          <w:color w:val="373435"/>
        </w:rPr>
        <w:t>utilised to fund it has now largely been subsumed under the GST.</w:t>
      </w:r>
    </w:p>
    <w:sectPr w:rsidR="007270B3" w:rsidRPr="007270B3" w:rsidSect="007270B3">
      <w:pgSz w:w="11520" w:h="16340"/>
      <w:pgMar w:top="1010" w:right="627" w:bottom="1079" w:left="9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35A45"/>
    <w:multiLevelType w:val="hybridMultilevel"/>
    <w:tmpl w:val="B9884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65C2757"/>
    <w:multiLevelType w:val="hybridMultilevel"/>
    <w:tmpl w:val="D6284D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EDD3FD7"/>
    <w:multiLevelType w:val="hybridMultilevel"/>
    <w:tmpl w:val="C308C494"/>
    <w:lvl w:ilvl="0" w:tplc="6FF6C060">
      <w:start w:val="1"/>
      <w:numFmt w:val="lowerRoman"/>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5D47492D"/>
    <w:multiLevelType w:val="hybridMultilevel"/>
    <w:tmpl w:val="F6D0225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60B0062E"/>
    <w:multiLevelType w:val="hybridMultilevel"/>
    <w:tmpl w:val="AADE8124"/>
    <w:lvl w:ilvl="0" w:tplc="6FF6C060">
      <w:start w:val="1"/>
      <w:numFmt w:val="lowerRoman"/>
      <w:lvlText w:val="(%1)"/>
      <w:lvlJc w:val="left"/>
      <w:pPr>
        <w:ind w:left="780" w:hanging="72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5" w15:restartNumberingAfterBreak="0">
    <w:nsid w:val="7BCF7475"/>
    <w:multiLevelType w:val="hybridMultilevel"/>
    <w:tmpl w:val="19E003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AB3"/>
    <w:rsid w:val="000C169E"/>
    <w:rsid w:val="00100E43"/>
    <w:rsid w:val="001F3AB3"/>
    <w:rsid w:val="00386953"/>
    <w:rsid w:val="006C3C71"/>
    <w:rsid w:val="006D1D49"/>
    <w:rsid w:val="007270B3"/>
    <w:rsid w:val="007661C6"/>
    <w:rsid w:val="009D0C83"/>
    <w:rsid w:val="009E19AA"/>
    <w:rsid w:val="00B56A4D"/>
    <w:rsid w:val="00BA6399"/>
    <w:rsid w:val="00C87E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4A790-51B3-4710-BF8C-3AAC1E93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F3AB3"/>
    <w:rPr>
      <w:i/>
      <w:iCs/>
    </w:rPr>
  </w:style>
  <w:style w:type="paragraph" w:customStyle="1" w:styleId="Default">
    <w:name w:val="Default"/>
    <w:rsid w:val="00C87EC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7270B3"/>
    <w:rPr>
      <w:color w:val="0000FF"/>
      <w:u w:val="single"/>
    </w:rPr>
  </w:style>
  <w:style w:type="paragraph" w:styleId="ListParagraph">
    <w:name w:val="List Paragraph"/>
    <w:basedOn w:val="Normal"/>
    <w:uiPriority w:val="34"/>
    <w:qFormat/>
    <w:rsid w:val="007270B3"/>
    <w:pPr>
      <w:ind w:left="720"/>
      <w:contextualSpacing/>
    </w:pPr>
  </w:style>
  <w:style w:type="paragraph" w:customStyle="1" w:styleId="Pa0">
    <w:name w:val="Pa0"/>
    <w:basedOn w:val="Default"/>
    <w:next w:val="Default"/>
    <w:uiPriority w:val="99"/>
    <w:rsid w:val="007270B3"/>
    <w:pPr>
      <w:spacing w:line="241" w:lineRule="atLeast"/>
    </w:pPr>
    <w:rPr>
      <w:color w:val="auto"/>
    </w:rPr>
  </w:style>
  <w:style w:type="paragraph" w:customStyle="1" w:styleId="Pa9">
    <w:name w:val="Pa9"/>
    <w:basedOn w:val="Default"/>
    <w:next w:val="Default"/>
    <w:uiPriority w:val="99"/>
    <w:rsid w:val="007270B3"/>
    <w:pPr>
      <w:spacing w:line="241" w:lineRule="atLeast"/>
    </w:pPr>
    <w:rPr>
      <w:color w:val="auto"/>
    </w:rPr>
  </w:style>
  <w:style w:type="character" w:customStyle="1" w:styleId="A7">
    <w:name w:val="A7"/>
    <w:uiPriority w:val="99"/>
    <w:rsid w:val="007270B3"/>
    <w:rPr>
      <w:rFonts w:ascii="Garamond" w:hAnsi="Garamond" w:cs="Garamond"/>
      <w:b/>
      <w:bCs/>
      <w:color w:val="000000"/>
      <w:sz w:val="32"/>
      <w:szCs w:val="32"/>
    </w:rPr>
  </w:style>
  <w:style w:type="paragraph" w:customStyle="1" w:styleId="Pa10">
    <w:name w:val="Pa10"/>
    <w:basedOn w:val="Default"/>
    <w:next w:val="Default"/>
    <w:uiPriority w:val="99"/>
    <w:rsid w:val="007270B3"/>
    <w:pPr>
      <w:spacing w:line="251" w:lineRule="atLeast"/>
    </w:pPr>
    <w:rPr>
      <w:color w:val="auto"/>
    </w:rPr>
  </w:style>
  <w:style w:type="character" w:customStyle="1" w:styleId="A8">
    <w:name w:val="A8"/>
    <w:uiPriority w:val="99"/>
    <w:rsid w:val="007270B3"/>
    <w:rPr>
      <w:color w:val="000000"/>
      <w:sz w:val="22"/>
      <w:szCs w:val="22"/>
    </w:rPr>
  </w:style>
  <w:style w:type="paragraph" w:customStyle="1" w:styleId="Pa6">
    <w:name w:val="Pa6"/>
    <w:basedOn w:val="Default"/>
    <w:next w:val="Default"/>
    <w:uiPriority w:val="99"/>
    <w:rsid w:val="007270B3"/>
    <w:pPr>
      <w:spacing w:line="241" w:lineRule="atLeast"/>
    </w:pPr>
    <w:rPr>
      <w:color w:val="auto"/>
    </w:rPr>
  </w:style>
  <w:style w:type="paragraph" w:customStyle="1" w:styleId="Pa5">
    <w:name w:val="Pa5"/>
    <w:basedOn w:val="Default"/>
    <w:next w:val="Default"/>
    <w:uiPriority w:val="99"/>
    <w:rsid w:val="007270B3"/>
    <w:pPr>
      <w:spacing w:line="261" w:lineRule="atLeast"/>
    </w:pPr>
    <w:rPr>
      <w:color w:val="auto"/>
    </w:rPr>
  </w:style>
  <w:style w:type="character" w:customStyle="1" w:styleId="A4">
    <w:name w:val="A4"/>
    <w:uiPriority w:val="99"/>
    <w:rsid w:val="007270B3"/>
    <w:rPr>
      <w:b/>
      <w:bCs/>
      <w:color w:val="000000"/>
      <w:sz w:val="28"/>
      <w:szCs w:val="28"/>
    </w:rPr>
  </w:style>
  <w:style w:type="paragraph" w:customStyle="1" w:styleId="Pa21">
    <w:name w:val="Pa21"/>
    <w:basedOn w:val="Default"/>
    <w:next w:val="Default"/>
    <w:uiPriority w:val="99"/>
    <w:rsid w:val="007270B3"/>
    <w:pPr>
      <w:spacing w:line="201" w:lineRule="atLeast"/>
    </w:pPr>
    <w:rPr>
      <w:color w:val="auto"/>
    </w:rPr>
  </w:style>
  <w:style w:type="character" w:customStyle="1" w:styleId="A0">
    <w:name w:val="A0"/>
    <w:uiPriority w:val="99"/>
    <w:rsid w:val="007270B3"/>
    <w:rPr>
      <w:b/>
      <w:bCs/>
      <w:color w:val="000000"/>
    </w:rPr>
  </w:style>
  <w:style w:type="paragraph" w:customStyle="1" w:styleId="Pa8">
    <w:name w:val="Pa8"/>
    <w:basedOn w:val="Default"/>
    <w:next w:val="Default"/>
    <w:uiPriority w:val="99"/>
    <w:rsid w:val="007270B3"/>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382957">
      <w:bodyDiv w:val="1"/>
      <w:marLeft w:val="0"/>
      <w:marRight w:val="0"/>
      <w:marTop w:val="0"/>
      <w:marBottom w:val="0"/>
      <w:divBdr>
        <w:top w:val="none" w:sz="0" w:space="0" w:color="auto"/>
        <w:left w:val="none" w:sz="0" w:space="0" w:color="auto"/>
        <w:bottom w:val="none" w:sz="0" w:space="0" w:color="auto"/>
        <w:right w:val="none" w:sz="0" w:space="0" w:color="auto"/>
      </w:divBdr>
      <w:divsChild>
        <w:div w:id="976497328">
          <w:marLeft w:val="0"/>
          <w:marRight w:val="0"/>
          <w:marTop w:val="0"/>
          <w:marBottom w:val="0"/>
          <w:divBdr>
            <w:top w:val="none" w:sz="0" w:space="0" w:color="auto"/>
            <w:left w:val="none" w:sz="0" w:space="0" w:color="auto"/>
            <w:bottom w:val="none" w:sz="0" w:space="0" w:color="auto"/>
            <w:right w:val="none" w:sz="0" w:space="0" w:color="auto"/>
          </w:divBdr>
        </w:div>
      </w:divsChild>
    </w:div>
    <w:div w:id="1256208427">
      <w:bodyDiv w:val="1"/>
      <w:marLeft w:val="0"/>
      <w:marRight w:val="0"/>
      <w:marTop w:val="0"/>
      <w:marBottom w:val="0"/>
      <w:divBdr>
        <w:top w:val="none" w:sz="0" w:space="0" w:color="auto"/>
        <w:left w:val="none" w:sz="0" w:space="0" w:color="auto"/>
        <w:bottom w:val="none" w:sz="0" w:space="0" w:color="auto"/>
        <w:right w:val="none" w:sz="0" w:space="0" w:color="auto"/>
      </w:divBdr>
    </w:div>
    <w:div w:id="159967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7117</TotalTime>
  <Pages>3</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varsha krishanan</dc:creator>
  <cp:keywords/>
  <dc:description/>
  <cp:lastModifiedBy>varsha krishanan</cp:lastModifiedBy>
  <cp:revision>1</cp:revision>
  <dcterms:created xsi:type="dcterms:W3CDTF">2020-03-17T10:23:00Z</dcterms:created>
  <dcterms:modified xsi:type="dcterms:W3CDTF">2020-03-22T09:30:00Z</dcterms:modified>
</cp:coreProperties>
</file>